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EDB40D">
      <w:pPr>
        <w:spacing w:line="580" w:lineRule="exact"/>
        <w:rPr>
          <w:rFonts w:hint="eastAsia" w:ascii="黑体" w:hAnsi="黑体" w:eastAsia="黑体"/>
          <w:bCs/>
          <w:sz w:val="32"/>
          <w:szCs w:val="32"/>
          <w:lang w:eastAsia="zh-CN"/>
        </w:rPr>
      </w:pPr>
      <w:r>
        <w:rPr>
          <w:rFonts w:hint="eastAsia" w:ascii="黑体" w:hAnsi="黑体" w:eastAsia="黑体"/>
          <w:bCs/>
          <w:sz w:val="32"/>
          <w:szCs w:val="32"/>
        </w:rPr>
        <w:t>附件</w:t>
      </w:r>
      <w:r>
        <w:rPr>
          <w:rFonts w:hint="eastAsia" w:ascii="黑体" w:hAnsi="黑体" w:eastAsia="黑体"/>
          <w:bCs/>
          <w:sz w:val="32"/>
          <w:szCs w:val="32"/>
          <w:lang w:eastAsia="zh-CN"/>
        </w:rPr>
        <w:t>：</w:t>
      </w:r>
    </w:p>
    <w:p w14:paraId="0A9B1066">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简体" w:hAnsi="黑体" w:eastAsia="方正小标宋简体"/>
          <w:bCs/>
          <w:sz w:val="36"/>
          <w:szCs w:val="36"/>
        </w:rPr>
      </w:pPr>
    </w:p>
    <w:p w14:paraId="7557BE9B">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宋体" w:hAnsi="宋体" w:eastAsia="宋体" w:cs="宋体"/>
          <w:b/>
          <w:bCs w:val="0"/>
          <w:sz w:val="44"/>
          <w:szCs w:val="44"/>
        </w:rPr>
      </w:pPr>
      <w:r>
        <w:rPr>
          <w:rFonts w:hint="eastAsia" w:ascii="宋体" w:hAnsi="宋体" w:eastAsia="宋体" w:cs="宋体"/>
          <w:b/>
          <w:bCs w:val="0"/>
          <w:sz w:val="44"/>
          <w:szCs w:val="44"/>
        </w:rPr>
        <w:t>科技计划项目预算支出的具体科目</w:t>
      </w:r>
    </w:p>
    <w:p w14:paraId="788C859B">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简体" w:hAnsi="黑体" w:eastAsia="方正小标宋简体"/>
          <w:bCs/>
          <w:sz w:val="36"/>
          <w:szCs w:val="36"/>
        </w:rPr>
      </w:pPr>
    </w:p>
    <w:p w14:paraId="5555F319">
      <w:pPr>
        <w:keepNext w:val="0"/>
        <w:keepLines w:val="0"/>
        <w:pageBreakBefore w:val="0"/>
        <w:widowControl w:val="0"/>
        <w:kinsoku/>
        <w:wordWrap/>
        <w:overflowPunct/>
        <w:topLinePunct w:val="0"/>
        <w:autoSpaceDE/>
        <w:autoSpaceDN/>
        <w:bidi w:val="0"/>
        <w:adjustRightInd/>
        <w:snapToGrid w:val="0"/>
        <w:spacing w:line="560" w:lineRule="exact"/>
        <w:ind w:firstLine="643"/>
        <w:textAlignment w:val="auto"/>
        <w:rPr>
          <w:rFonts w:ascii="黑体" w:hAnsi="黑体" w:eastAsia="黑体"/>
          <w:b w:val="0"/>
          <w:bCs/>
          <w:sz w:val="32"/>
          <w:szCs w:val="32"/>
        </w:rPr>
      </w:pPr>
      <w:r>
        <w:rPr>
          <w:rStyle w:val="5"/>
          <w:rFonts w:hint="eastAsia" w:ascii="黑体" w:hAnsi="黑体" w:eastAsia="黑体"/>
          <w:b w:val="0"/>
          <w:bCs/>
          <w:color w:val="333333"/>
          <w:sz w:val="32"/>
          <w:szCs w:val="32"/>
        </w:rPr>
        <w:t>一、直接费用</w:t>
      </w:r>
      <w:bookmarkStart w:id="0" w:name="_GoBack"/>
      <w:bookmarkEnd w:id="0"/>
    </w:p>
    <w:p w14:paraId="10DDEA31">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直接费用是指在项目实施过程中发生的与之直接相关的费用。主要包括：</w:t>
      </w:r>
    </w:p>
    <w:p w14:paraId="267B002C">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一）设备费：是指在项目实施过程中购置或试制专用仪器设备，对现有仪器设备进行升级改造，以及租赁外单位仪器设备而发生的费用。计算类仪器设备和软件工具可在设备费科目列支。应当严格控制设备购置，鼓励开放共享、自主研制、租赁专用仪器设备以及对现有仪器设备进行升级改造，避免重复购置。</w:t>
      </w:r>
    </w:p>
    <w:p w14:paraId="31295291">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二）业务费：是指在项目实施过程中消耗的各种材料、辅助材料等低值易耗品的采购、运输、装卸、整理等费用，发生的测试化验加工、燃料动力、出版/文献/信息传播/知识产权事务、会议/差旅/国际合作交流等费用，以及其他相关支出。</w:t>
      </w:r>
    </w:p>
    <w:p w14:paraId="3500E297">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（三）劳务费：是指在项目实施过程中支付给参与项目的研究生、博士后、访问学者和项目聘用的研究人员、科研辅助人员等的劳务性费用，以及支付给临时聘请的咨询专家的费用等。</w:t>
      </w:r>
    </w:p>
    <w:p w14:paraId="1FDEC8F9">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项目聘用人员劳务费开支标准，参照当地科学研究和技术服务业从业人员平均工资水平，根据其在项目研究中承担的工作任务确定，其由单位缴纳的社会保险补助、住房公积金等纳入劳务费科目开支。</w:t>
      </w:r>
    </w:p>
    <w:p w14:paraId="2B12ABC4">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支付给临时聘请的咨询专家的费用，不得支付给参与本项目及所属课题研究和管理的相关人员；高级专业技术职称人员的专家咨询费标准为1500-2400元/人天（税后）；其他专业人员的专家咨询费标准为900-1500元/人天（税后）；院士、国内知名专家，可按照高级专业技术职称人员的专家咨询费标准上浮50%执行。</w:t>
      </w:r>
    </w:p>
    <w:p w14:paraId="11F48C97">
      <w:pPr>
        <w:keepNext w:val="0"/>
        <w:keepLines w:val="0"/>
        <w:pageBreakBefore w:val="0"/>
        <w:widowControl w:val="0"/>
        <w:kinsoku/>
        <w:wordWrap/>
        <w:overflowPunct/>
        <w:topLinePunct w:val="0"/>
        <w:autoSpaceDE/>
        <w:autoSpaceDN/>
        <w:bidi w:val="0"/>
        <w:adjustRightInd/>
        <w:snapToGrid w:val="0"/>
        <w:spacing w:line="560" w:lineRule="exact"/>
        <w:ind w:firstLine="641"/>
        <w:textAlignment w:val="auto"/>
        <w:rPr>
          <w:rFonts w:ascii="黑体" w:hAnsi="黑体" w:eastAsia="黑体"/>
          <w:b w:val="0"/>
          <w:bCs/>
          <w:sz w:val="32"/>
          <w:szCs w:val="32"/>
        </w:rPr>
      </w:pPr>
      <w:r>
        <w:rPr>
          <w:rStyle w:val="5"/>
          <w:rFonts w:hint="eastAsia" w:ascii="黑体" w:hAnsi="黑体" w:eastAsia="黑体"/>
          <w:b w:val="0"/>
          <w:bCs/>
          <w:color w:val="333333"/>
          <w:sz w:val="32"/>
          <w:szCs w:val="32"/>
        </w:rPr>
        <w:t>二、间接费用</w:t>
      </w:r>
    </w:p>
    <w:p w14:paraId="30DEE3B0">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ascii="仿宋_GB2312" w:hAnsi="Calibri" w:eastAsia="仿宋_GB2312"/>
          <w:sz w:val="32"/>
          <w:szCs w:val="32"/>
        </w:rPr>
      </w:pPr>
      <w:r>
        <w:rPr>
          <w:rFonts w:hint="eastAsia" w:ascii="仿宋_GB2312" w:hAnsi="Calibri" w:eastAsia="仿宋_GB2312"/>
          <w:color w:val="333333"/>
          <w:sz w:val="32"/>
          <w:szCs w:val="32"/>
        </w:rPr>
        <w:t>间接费用是指承担单位在组织实施项目过程中发生的无法在直接费用中列支的相关费用。主要包括：承担单位为项目研究提供的房屋占用，日常水、电、气、暖等消耗，有关管理费用的补助支出，以及激励科研人员的绩效支出等。间接费用，一般仅适用于国有性质的科研院所、高等院校和其他事业单位牵头承担的项目预算编制。</w:t>
      </w:r>
    </w:p>
    <w:p w14:paraId="74FF166C">
      <w:pPr>
        <w:keepNext w:val="0"/>
        <w:keepLines w:val="0"/>
        <w:pageBreakBefore w:val="0"/>
        <w:widowControl w:val="0"/>
        <w:kinsoku/>
        <w:wordWrap/>
        <w:overflowPunct/>
        <w:topLinePunct w:val="0"/>
        <w:autoSpaceDE/>
        <w:autoSpaceDN/>
        <w:bidi w:val="0"/>
        <w:adjustRightInd/>
        <w:spacing w:line="560" w:lineRule="exact"/>
        <w:ind w:firstLine="643"/>
        <w:textAlignment w:val="auto"/>
        <w:rPr>
          <w:rFonts w:eastAsia="楷体_GB2312"/>
          <w:b/>
          <w:sz w:val="32"/>
          <w:szCs w:val="32"/>
        </w:rPr>
      </w:pPr>
      <w:r>
        <w:rPr>
          <w:rFonts w:hint="eastAsia" w:ascii="仿宋_GB2312" w:hAnsi="Calibri" w:eastAsia="仿宋_GB2312"/>
          <w:color w:val="333333"/>
          <w:sz w:val="32"/>
          <w:szCs w:val="32"/>
        </w:rPr>
        <w:t>间接费用实行总额控制，按照不超过课题直接费用扣除设备购置费后的30%比例核定。</w:t>
      </w:r>
    </w:p>
    <w:p w14:paraId="6785EBC0">
      <w:pPr>
        <w:keepNext w:val="0"/>
        <w:keepLines w:val="0"/>
        <w:pageBreakBefore w:val="0"/>
        <w:widowControl w:val="0"/>
        <w:kinsoku/>
        <w:wordWrap/>
        <w:overflowPunct/>
        <w:topLinePunct w:val="0"/>
        <w:autoSpaceDE/>
        <w:autoSpaceDN/>
        <w:bidi w:val="0"/>
        <w:adjustRightInd/>
        <w:spacing w:line="560" w:lineRule="exact"/>
        <w:ind w:firstLine="640"/>
        <w:textAlignment w:val="auto"/>
      </w:pPr>
    </w:p>
    <w:p w14:paraId="618CA394">
      <w:pPr>
        <w:keepNext w:val="0"/>
        <w:keepLines w:val="0"/>
        <w:pageBreakBefore w:val="0"/>
        <w:widowControl w:val="0"/>
        <w:kinsoku/>
        <w:wordWrap/>
        <w:overflowPunct/>
        <w:topLinePunct w:val="0"/>
        <w:autoSpaceDE/>
        <w:autoSpaceDN/>
        <w:bidi w:val="0"/>
        <w:adjustRightInd/>
        <w:spacing w:line="560" w:lineRule="exact"/>
        <w:ind w:firstLine="640"/>
        <w:textAlignment w:val="auto"/>
      </w:pPr>
    </w:p>
    <w:p w14:paraId="087ACE16"/>
    <w:sectPr>
      <w:footerReference r:id="rId3" w:type="default"/>
      <w:footerReference r:id="rId4" w:type="even"/>
      <w:pgSz w:w="11907" w:h="16840"/>
      <w:pgMar w:top="2098" w:right="1474" w:bottom="1984" w:left="1587" w:header="851" w:footer="992"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3E2E1A">
    <w:pPr>
      <w:pStyle w:val="2"/>
      <w:ind w:right="360" w:firstLine="360"/>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6F929">
                          <w:pPr>
                            <w:pStyle w:val="2"/>
                            <w:rPr>
                              <w:rStyle w:val="6"/>
                            </w:rPr>
                          </w:pPr>
                          <w:r>
                            <w:rPr>
                              <w:rFonts w:hint="eastAsia" w:ascii="仿宋_GB2312" w:hAnsi="仿宋_GB2312" w:eastAsia="仿宋_GB2312" w:cs="仿宋_GB2312"/>
                              <w:sz w:val="24"/>
                              <w:szCs w:val="24"/>
                            </w:rPr>
                            <w:fldChar w:fldCharType="begin"/>
                          </w:r>
                          <w:r>
                            <w:rPr>
                              <w:rStyle w:val="6"/>
                              <w:rFonts w:hint="eastAsia" w:ascii="仿宋_GB2312" w:hAnsi="仿宋_GB2312" w:eastAsia="仿宋_GB2312" w:cs="仿宋_GB2312"/>
                              <w:sz w:val="24"/>
                              <w:szCs w:val="24"/>
                            </w:rPr>
                            <w:instrText xml:space="preserve">PAGE  </w:instrText>
                          </w:r>
                          <w:r>
                            <w:rPr>
                              <w:rFonts w:hint="eastAsia" w:ascii="仿宋_GB2312" w:hAnsi="仿宋_GB2312" w:eastAsia="仿宋_GB2312" w:cs="仿宋_GB2312"/>
                              <w:sz w:val="24"/>
                              <w:szCs w:val="24"/>
                            </w:rPr>
                            <w:fldChar w:fldCharType="separate"/>
                          </w:r>
                          <w:r>
                            <w:rPr>
                              <w:rStyle w:val="6"/>
                              <w:rFonts w:hint="eastAsia" w:ascii="仿宋_GB2312" w:hAnsi="仿宋_GB2312" w:eastAsia="仿宋_GB2312" w:cs="仿宋_GB2312"/>
                              <w:sz w:val="24"/>
                              <w:szCs w:val="24"/>
                            </w:rPr>
                            <w:t>- 14 -</w:t>
                          </w:r>
                          <w:r>
                            <w:rPr>
                              <w:rFonts w:hint="eastAsia" w:ascii="仿宋_GB2312" w:hAnsi="仿宋_GB2312" w:eastAsia="仿宋_GB2312" w:cs="仿宋_GB2312"/>
                              <w:sz w:val="24"/>
                              <w:szCs w:val="24"/>
                            </w:rP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719g2NYBAACyAwAADgAAAAAAAAABACAAAAAe&#10;AQAAZHJzL2Uyb0RvYy54bWxQSwUGAAAAAAYABgBZAQAAZgUAAAAA&#10;">
              <v:fill on="f" focussize="0,0"/>
              <v:stroke on="f"/>
              <v:imagedata o:title=""/>
              <o:lock v:ext="edit" aspectratio="f"/>
              <v:textbox inset="0mm,0mm,0mm,0mm" style="mso-fit-shape-to-text:t;">
                <w:txbxContent>
                  <w:p w14:paraId="68A6F929">
                    <w:pPr>
                      <w:pStyle w:val="2"/>
                      <w:rPr>
                        <w:rStyle w:val="6"/>
                      </w:rPr>
                    </w:pPr>
                    <w:r>
                      <w:rPr>
                        <w:rFonts w:hint="eastAsia" w:ascii="仿宋_GB2312" w:hAnsi="仿宋_GB2312" w:eastAsia="仿宋_GB2312" w:cs="仿宋_GB2312"/>
                        <w:sz w:val="24"/>
                        <w:szCs w:val="24"/>
                      </w:rPr>
                      <w:fldChar w:fldCharType="begin"/>
                    </w:r>
                    <w:r>
                      <w:rPr>
                        <w:rStyle w:val="6"/>
                        <w:rFonts w:hint="eastAsia" w:ascii="仿宋_GB2312" w:hAnsi="仿宋_GB2312" w:eastAsia="仿宋_GB2312" w:cs="仿宋_GB2312"/>
                        <w:sz w:val="24"/>
                        <w:szCs w:val="24"/>
                      </w:rPr>
                      <w:instrText xml:space="preserve">PAGE  </w:instrText>
                    </w:r>
                    <w:r>
                      <w:rPr>
                        <w:rFonts w:hint="eastAsia" w:ascii="仿宋_GB2312" w:hAnsi="仿宋_GB2312" w:eastAsia="仿宋_GB2312" w:cs="仿宋_GB2312"/>
                        <w:sz w:val="24"/>
                        <w:szCs w:val="24"/>
                      </w:rPr>
                      <w:fldChar w:fldCharType="separate"/>
                    </w:r>
                    <w:r>
                      <w:rPr>
                        <w:rStyle w:val="6"/>
                        <w:rFonts w:hint="eastAsia" w:ascii="仿宋_GB2312" w:hAnsi="仿宋_GB2312" w:eastAsia="仿宋_GB2312" w:cs="仿宋_GB2312"/>
                        <w:sz w:val="24"/>
                        <w:szCs w:val="24"/>
                      </w:rPr>
                      <w:t>- 14 -</w:t>
                    </w:r>
                    <w:r>
                      <w:rPr>
                        <w:rFonts w:hint="eastAsia" w:ascii="仿宋_GB2312" w:hAnsi="仿宋_GB2312" w:eastAsia="仿宋_GB2312" w:cs="仿宋_GB2312"/>
                        <w:sz w:val="24"/>
                        <w:szCs w:val="24"/>
                      </w:rPr>
                      <w:fldChar w:fldCharType="end"/>
                    </w:r>
                  </w:p>
                </w:txbxContent>
              </v:textbox>
            </v:shape>
          </w:pict>
        </mc:Fallback>
      </mc:AlternateContent>
    </w:r>
  </w:p>
  <w:p w14:paraId="6D6C816D">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1ADE6">
    <w:pPr>
      <w:pStyle w:val="2"/>
      <w:framePr w:wrap="around" w:vAnchor="text" w:hAnchor="margin" w:xAlign="outside" w:y="1"/>
      <w:rPr>
        <w:rStyle w:val="6"/>
      </w:rPr>
    </w:pPr>
    <w:r>
      <w:fldChar w:fldCharType="begin"/>
    </w:r>
    <w:r>
      <w:rPr>
        <w:rStyle w:val="6"/>
      </w:rPr>
      <w:instrText xml:space="preserve">PAGE  </w:instrText>
    </w:r>
    <w:r>
      <w:fldChar w:fldCharType="separate"/>
    </w:r>
    <w:r>
      <w:fldChar w:fldCharType="end"/>
    </w:r>
  </w:p>
  <w:p w14:paraId="35B4FABB">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0YTZhZjQ3NDM0ODE4NmE5OTQyMDQ5YWYyMDhkYzYifQ=="/>
  </w:docVars>
  <w:rsids>
    <w:rsidRoot w:val="2BF135A6"/>
    <w:rsid w:val="2BF135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pPr>
    <w:rPr>
      <w:sz w:val="18"/>
      <w:szCs w:val="18"/>
    </w:rPr>
  </w:style>
  <w:style w:type="character" w:styleId="5">
    <w:name w:val="Strong"/>
    <w:basedOn w:val="4"/>
    <w:qFormat/>
    <w:uiPriority w:val="22"/>
    <w:rPr>
      <w:b/>
    </w:rPr>
  </w:style>
  <w:style w:type="character" w:styleId="6">
    <w:name w:val="page number"/>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Office_12.1.0.17145_F1E327BC-269C-435d-A152-05C5408002CA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2024-11-05T07:42:00Z</dcterms:created>
  <dc:creator>莫秋莎</dc:creator>
  <cp:lastModifiedBy>莫秋莎</cp:lastModifiedBy>
  <dcterms:modified xsi:type="dcterms:W3CDTF">2024-11-05T07:44:00Z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2052-12.1.0.17145</vt:lpwstr>
  </property>
  <property fmtid="{D5CDD505-2E9C-101B-9397-08002B2CF9AE}" pid="3" name="ICV">
    <vt:lpwstr>8FE7BA56760E476AA622FD98A15088F4_11</vt:lpwstr>
  </property>
</Properties>
</file>